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00"/>
      </w:tblGrid>
      <w:tr w:rsidR="006C1EEF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361AD0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361AD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943318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Субсидии предоставляются за счет бюджета Томской области </w:t>
            </w:r>
            <w:r w:rsidR="00E61C30" w:rsidRPr="00E61C3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 выращивание племенного молодняка крупного рогатого скота мясного или молочного направления</w:t>
            </w:r>
          </w:p>
        </w:tc>
      </w:tr>
      <w:tr w:rsidR="00361AD0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1AD0" w:rsidRPr="006C1EEF" w:rsidRDefault="00361AD0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1AD0" w:rsidRPr="006C1EEF" w:rsidRDefault="00361AD0" w:rsidP="00361AD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</w:t>
            </w:r>
            <w:r w:rsidRPr="00361AD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оддержка приоритетных направлений агропромышленного комплекса и развитие малых форм хозяйствования</w:t>
            </w:r>
          </w:p>
        </w:tc>
      </w:tr>
      <w:tr w:rsidR="00361AD0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1AD0" w:rsidRPr="006C1EEF" w:rsidRDefault="00361AD0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1AD0" w:rsidRDefault="00361AD0" w:rsidP="00361AD0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361AD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 и малых форм хозяйствования</w:t>
            </w:r>
          </w:p>
        </w:tc>
      </w:tr>
      <w:tr w:rsidR="006C1EEF" w:rsidRPr="006C1EEF" w:rsidTr="006125B7">
        <w:trPr>
          <w:trHeight w:val="552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Получатель/заявитель (кто и </w:t>
            </w:r>
            <w:proofErr w:type="gramStart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</w:t>
            </w:r>
            <w:proofErr w:type="gramEnd"/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каким критериям может получить данную меру поддержки)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851D8B" w:rsidRDefault="006C1EEF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851D8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E61C30" w:rsidRPr="00E61C30" w:rsidRDefault="00E61C30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E61C30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сельскохозяйственные товаропроизводители (за исключением сельскохозяйственных кредитных потребительских кооперативов), имеющие маточное поголовье племенного крупного рогатого скота мясного или молочного направления на дату подачи заявки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</w:t>
            </w:r>
          </w:p>
          <w:p w:rsid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Участники отбора на дату подачи заявки должны соответствовать следующим требованиям </w:t>
            </w:r>
          </w:p>
          <w:p w:rsidR="00530C55" w:rsidRP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1) участник отбора должен: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•Участник отбора (получатель субсидии) не является российским юридическим лицом, в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уставном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(складочном)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капитале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которого доля прямого или косвенного (через третьих лиц) участия иностранных юридических лиц,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местом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регистрации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которых является государство или территория, включенные в утверждаемый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Министерством финансов Российской Федерации перечень государств и территорий, используемых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промежуточного (офшорного) владения активами в Российской Федерации, в совокупности превышает 25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процентов (если иное не предусмотрено законодательством Российской Федерации)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 Участник отбора (получатель субсидии) не должен получать средства из федерального бюджета субъекта Российской Федерации, местного бюджета), из которого планируется предоставление субсидии, на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основании иных нормативных правовых актов Российской Федерации (нормативных правовых актов субъекта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Российской Федерации, муниципальных правовых актов), решений о порядке предоставления субсидии на цели,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установленные решением о порядке предоставления субсидии, в целях определения получателей которой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проводится отбор получателей субсидий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является иностранным агентом в соответствии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Федеральным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законом "О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деятельностью лиц, находящихся под иностранным влиянием"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не должен находиться в перечне организаций и физических лиц, в отношении которых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имеются сведения об их причастности к экстремистской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деятельности или терроризму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находится в перечне организаций и физических лиц, связанных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террористическими организациями и террористами,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составляемом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в рамках реализации полномочий,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главой VII Устава ООН, Советом Безопасности ООН или органами, специально созданными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решениями Совета Безопасности ООН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не находится в перечне организаций и физических лиц, связанных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распространением оружия массового уничтожения,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составляемом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в рамках реализации полномочий,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предусмотренных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главой VII Устава ООН, Советом Безопасности ООН или органами, специально созданными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решениями Совета Безопасности ООН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Участник отбора (получатель субсидии) не является иностранным юридическим лицом, в том числе местом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регистрации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которого является государство или территория, включенные в утверждаемый Министерством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финансов Российской Федерации перечень государств и территорий, используемых для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промежуточного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(офшорного) владения активами в Российской Федерации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Участник отбора (получатель субсидии) предоставил весь требуемый перечень документов, необходимых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подтверждения соответствия участника отбора (получателя субсидии) требованиям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 получателя субсидии (участника отбора) на едином налоговом счете отсутствует или не превышает размер,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определенный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пунктом 3 статьи 47 Налогового кодекса Российской Федерации, задолженность по уплате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налогов, сборов и страховых взносов в бюджеты бюджетной системы Российской Федерации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у участника отбора (получателя субсидии) отсутствуют просроченная задолженность по возврату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в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областной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бюджет иных субсидий, бюджетных инвестиций, а также иная просроченная (неурегулированная)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задолженность по денежным обязательствам перед Томской областью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получатель субсидии (участник отбора), являющийся юридическим лицом, не находится в процессе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реорганизации (за исключением реорганизации в форме присоединения к юридическому лицу, являющемуся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получателем субсидии (участником отбора), другого юридического лица), ликвидации, в отношении его не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введена процедура банкротства, деятельность получателя субсидии (участника отбора) не приостановлена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в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порядке, предусмотренном законодательством Российской Федерации, а получатель субсидии (участник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отбора),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являющийся</w:t>
            </w:r>
            <w:proofErr w:type="gram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индивидуальным предпринимателем, не прекратил деятельность в качестве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индивидуального предпринимателя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• осуществление хозяйственной деятельности на территории Томской области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 получатель субсидии должен состоять на учете в налоговом органе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отсутствие в году, предшествующем текущему календарному году (далее - предыдущий календарный год),</w:t>
            </w:r>
            <w:r w:rsidR="008953B1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случаев привлечения к ответственности за несоблюдение запрета на выжигание сухой травянистой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растительности, стерни, пожнивных остатков на землях сельскохозяйственного назначения, установленного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постановлением Правительства Российской Федерации от 16.09.2020 № 1479 «Об утверждении Правил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противопожарного режима в Российской Федерации»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отсутствие просроченной задолженности перед Томским филиалом ФГБУ Управление «</w:t>
            </w:r>
            <w:proofErr w:type="spell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Алтаймелиоводхоз</w:t>
            </w:r>
            <w:proofErr w:type="spellEnd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за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услуги по подаче (отводу) воды в размере более 50 тыс. рублей по состоянию на 1 число месяца подачи заявки</w:t>
            </w:r>
          </w:p>
          <w:p w:rsidR="00BB1379" w:rsidRPr="00BB1379" w:rsidRDefault="00BB1379" w:rsidP="006570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proofErr w:type="gramStart"/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="0065709E" w:rsidRPr="0065709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реализация племенного молодняка крупного рогатого скота мясного или молочного направления победителям конкурсных отборов по предоставлению грантов в форме субсидий в соответствии с постановлениями Администрации Томской области от 13.05.2019 N 179а "О предоставлении грантов "</w:t>
            </w:r>
            <w:proofErr w:type="spellStart"/>
            <w:r w:rsidR="0065709E" w:rsidRPr="0065709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Агростартап</w:t>
            </w:r>
            <w:proofErr w:type="spellEnd"/>
            <w:r w:rsidR="0065709E" w:rsidRPr="0065709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 на реализацию проектов создания и (или) развития хозяйств", от 31.05.2012 N 205а "О предоставлении грантов в форме субсидий на развитие семейных ферм в Томской области"</w:t>
            </w:r>
            <w:proofErr w:type="gramEnd"/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средняя цена одного килограмма живого веса реализуемого племенного молодняка крупного рогатого скота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мясного направления - не выше 180 рублей в периоде, заявленном к субсидированию по договору;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цена одного килограмма живого веса реализуемого племенного молодняка крупного рогатого скота молочного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направления - не выше 180 рублей в периоде, заявленном к субсидированию;</w:t>
            </w:r>
          </w:p>
          <w:p w:rsidR="00BB1379" w:rsidRPr="00BB1379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наличие племенного маточного поголовья крупного рогатого скота мясного или молочного направления на 1</w:t>
            </w:r>
          </w:p>
          <w:p w:rsidR="006125B7" w:rsidRPr="00851D8B" w:rsidRDefault="00BB1379" w:rsidP="00BB137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BB137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января текущего года;</w:t>
            </w: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Нормативное обоснование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530C55" w:rsidRDefault="00530C55" w:rsidP="00530C55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Приказ Департамента по </w:t>
            </w:r>
            <w:proofErr w:type="gramStart"/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социально-экономическому</w:t>
            </w:r>
            <w:proofErr w:type="gramEnd"/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развитию села Том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ской области от 09.09.2020 N 72 </w:t>
            </w:r>
            <w:r w:rsidRPr="00530C55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"О предоставлении субсидий на поддержку приоритетных направлений агропромышленного комплекса и разв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итие малых форм хозяйствования"</w:t>
            </w: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6C1EEF" w:rsidRPr="006C1EEF" w:rsidRDefault="006C1EEF" w:rsidP="006C1EEF">
            <w:pPr>
              <w:spacing w:before="225"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  <w:t> </w:t>
            </w:r>
          </w:p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6C1EEF" w:rsidRPr="006C1EEF" w:rsidTr="006C1EEF">
        <w:trPr>
          <w:trHeight w:val="2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D4080F" w:rsidP="00F979AD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05.11.2025 05:00 - 19</w:t>
            </w:r>
            <w:r w:rsidR="00BB128C" w:rsidRPr="00BB128C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.11.2025 23:59 (</w:t>
            </w:r>
            <w:proofErr w:type="gramStart"/>
            <w:r w:rsidR="00BB128C" w:rsidRPr="00BB128C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МСК</w:t>
            </w:r>
            <w:proofErr w:type="gramEnd"/>
            <w:r w:rsidR="00BB128C" w:rsidRPr="00BB128C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)</w:t>
            </w:r>
          </w:p>
        </w:tc>
      </w:tr>
      <w:tr w:rsidR="006C1EEF" w:rsidRPr="006C1EEF" w:rsidTr="006C1EEF">
        <w:trPr>
          <w:trHeight w:val="4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D4080F" w:rsidP="00B86FB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05.11.2025 - 25</w:t>
            </w:r>
            <w:bookmarkStart w:id="0" w:name="_GoBack"/>
            <w:bookmarkEnd w:id="0"/>
            <w:r w:rsidR="00BB128C" w:rsidRPr="00BB128C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.11.2025</w:t>
            </w:r>
          </w:p>
        </w:tc>
      </w:tr>
      <w:tr w:rsidR="006C1EEF" w:rsidRPr="006C1EEF" w:rsidTr="006C1EEF">
        <w:trPr>
          <w:trHeight w:val="11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AC39E6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lastRenderedPageBreak/>
              <w:t>Контакты ответственных лиц</w:t>
            </w: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br/>
              <w:t xml:space="preserve">от </w:t>
            </w:r>
            <w:r w:rsid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Специалист «Единого окна»  8(38 22) 90 80 77.</w:t>
            </w:r>
          </w:p>
        </w:tc>
      </w:tr>
    </w:tbl>
    <w:p w:rsidR="00B42DE1" w:rsidRDefault="00B42DE1"/>
    <w:sectPr w:rsidR="00B4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116881"/>
    <w:rsid w:val="00361AD0"/>
    <w:rsid w:val="0042582E"/>
    <w:rsid w:val="004A3575"/>
    <w:rsid w:val="00530C55"/>
    <w:rsid w:val="006125B7"/>
    <w:rsid w:val="0065709E"/>
    <w:rsid w:val="006751A9"/>
    <w:rsid w:val="006A4CE6"/>
    <w:rsid w:val="006C1EEF"/>
    <w:rsid w:val="006E1E87"/>
    <w:rsid w:val="0075174D"/>
    <w:rsid w:val="00851D8B"/>
    <w:rsid w:val="008953B1"/>
    <w:rsid w:val="00943318"/>
    <w:rsid w:val="009B082D"/>
    <w:rsid w:val="00A053EB"/>
    <w:rsid w:val="00A12F8F"/>
    <w:rsid w:val="00A71E94"/>
    <w:rsid w:val="00AC39E6"/>
    <w:rsid w:val="00B42DE1"/>
    <w:rsid w:val="00B86FBF"/>
    <w:rsid w:val="00BB128C"/>
    <w:rsid w:val="00BB1379"/>
    <w:rsid w:val="00D4080F"/>
    <w:rsid w:val="00E61C30"/>
    <w:rsid w:val="00F0354E"/>
    <w:rsid w:val="00F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Болдарева</dc:creator>
  <cp:keywords/>
  <dc:description/>
  <cp:lastModifiedBy>Ирина Болдарева</cp:lastModifiedBy>
  <cp:revision>14</cp:revision>
  <dcterms:created xsi:type="dcterms:W3CDTF">2024-03-27T06:33:00Z</dcterms:created>
  <dcterms:modified xsi:type="dcterms:W3CDTF">2025-11-12T08:44:00Z</dcterms:modified>
</cp:coreProperties>
</file>